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222" w:rsidRDefault="00F75222" w:rsidP="00F75222">
      <w:pPr>
        <w:pStyle w:val="a7"/>
        <w:spacing w:line="240" w:lineRule="exact"/>
        <w:jc w:val="center"/>
        <w:rPr>
          <w:rFonts w:ascii="微软雅黑" w:eastAsia="微软雅黑" w:hAnsi="微软雅黑" w:cs="宋体"/>
          <w:sz w:val="22"/>
          <w:szCs w:val="22"/>
        </w:rPr>
      </w:pPr>
    </w:p>
    <w:p w:rsidR="00B10967" w:rsidRPr="00F75222" w:rsidRDefault="00B10967" w:rsidP="00F75222">
      <w:pPr>
        <w:pStyle w:val="a7"/>
        <w:spacing w:line="600" w:lineRule="exact"/>
        <w:jc w:val="center"/>
        <w:rPr>
          <w:rFonts w:ascii="微软雅黑" w:eastAsia="微软雅黑" w:hAnsi="微软雅黑" w:cs="宋体"/>
          <w:b/>
          <w:bCs/>
          <w:color w:val="7030A0"/>
          <w:sz w:val="40"/>
          <w:szCs w:val="40"/>
        </w:rPr>
      </w:pPr>
      <w:r w:rsidRPr="00F75222">
        <w:rPr>
          <w:rFonts w:ascii="微软雅黑" w:eastAsia="微软雅黑" w:hAnsi="微软雅黑" w:cs="宋体" w:hint="eastAsia"/>
          <w:b/>
          <w:bCs/>
          <w:color w:val="7030A0"/>
          <w:sz w:val="40"/>
          <w:szCs w:val="40"/>
        </w:rPr>
        <w:t>最高人民法院</w:t>
      </w:r>
    </w:p>
    <w:p w:rsidR="00B10967" w:rsidRPr="00F75222" w:rsidRDefault="00B10967" w:rsidP="00F75222">
      <w:pPr>
        <w:pStyle w:val="a7"/>
        <w:spacing w:line="600" w:lineRule="exact"/>
        <w:jc w:val="center"/>
        <w:rPr>
          <w:rFonts w:ascii="微软雅黑" w:eastAsia="微软雅黑" w:hAnsi="微软雅黑" w:cs="宋体"/>
          <w:b/>
          <w:bCs/>
          <w:color w:val="7030A0"/>
          <w:sz w:val="40"/>
          <w:szCs w:val="40"/>
        </w:rPr>
      </w:pPr>
      <w:r w:rsidRPr="00F75222">
        <w:rPr>
          <w:rFonts w:ascii="微软雅黑" w:eastAsia="微软雅黑" w:hAnsi="微软雅黑" w:cs="宋体" w:hint="eastAsia"/>
          <w:b/>
          <w:bCs/>
          <w:color w:val="7030A0"/>
          <w:sz w:val="40"/>
          <w:szCs w:val="40"/>
        </w:rPr>
        <w:t>关于审理期货纠纷案件若干问题的规定（二）</w:t>
      </w:r>
    </w:p>
    <w:p w:rsidR="00F75222" w:rsidRPr="00F75222" w:rsidRDefault="00F75222" w:rsidP="00F75222">
      <w:pPr>
        <w:pStyle w:val="a7"/>
        <w:spacing w:line="240" w:lineRule="exact"/>
        <w:jc w:val="center"/>
        <w:rPr>
          <w:rFonts w:ascii="微软雅黑" w:eastAsia="微软雅黑" w:hAnsi="微软雅黑" w:cs="宋体"/>
          <w:sz w:val="22"/>
          <w:szCs w:val="22"/>
        </w:rPr>
      </w:pPr>
    </w:p>
    <w:p w:rsidR="00F75222" w:rsidRPr="00F75222" w:rsidRDefault="00F75222" w:rsidP="00F75222">
      <w:pPr>
        <w:pStyle w:val="a7"/>
        <w:spacing w:line="240" w:lineRule="exact"/>
        <w:jc w:val="center"/>
        <w:rPr>
          <w:rFonts w:ascii="微软雅黑" w:eastAsia="微软雅黑" w:hAnsi="微软雅黑" w:cs="宋体"/>
          <w:sz w:val="22"/>
          <w:szCs w:val="22"/>
        </w:rPr>
      </w:pPr>
      <w:r w:rsidRPr="00F75222">
        <w:rPr>
          <w:rFonts w:ascii="微软雅黑" w:eastAsia="微软雅黑" w:hAnsi="微软雅黑" w:cs="宋体" w:hint="eastAsia"/>
          <w:sz w:val="22"/>
          <w:szCs w:val="22"/>
        </w:rPr>
        <w:t>2021-01-01</w:t>
      </w:r>
    </w:p>
    <w:p w:rsidR="00F75222" w:rsidRPr="00F75222" w:rsidRDefault="00F75222" w:rsidP="00F75222">
      <w:pPr>
        <w:pStyle w:val="a7"/>
        <w:spacing w:line="240" w:lineRule="exact"/>
        <w:jc w:val="center"/>
        <w:rPr>
          <w:rFonts w:ascii="微软雅黑" w:eastAsia="微软雅黑" w:hAnsi="微软雅黑" w:cs="宋体"/>
          <w:sz w:val="22"/>
          <w:szCs w:val="22"/>
        </w:rPr>
      </w:pPr>
    </w:p>
    <w:p w:rsidR="00F75222" w:rsidRPr="00F75222" w:rsidRDefault="00F75222" w:rsidP="00F75222">
      <w:pPr>
        <w:pStyle w:val="a7"/>
        <w:spacing w:line="240" w:lineRule="exact"/>
        <w:jc w:val="center"/>
        <w:rPr>
          <w:rFonts w:ascii="微软雅黑" w:eastAsia="微软雅黑" w:hAnsi="微软雅黑" w:cs="宋体"/>
          <w:sz w:val="22"/>
          <w:szCs w:val="22"/>
        </w:rPr>
      </w:pPr>
      <w:r w:rsidRPr="00F75222">
        <w:rPr>
          <w:rFonts w:ascii="微软雅黑" w:eastAsia="微软雅黑" w:hAnsi="微软雅黑" w:cs="宋体" w:hint="eastAsia"/>
          <w:sz w:val="22"/>
          <w:szCs w:val="22"/>
        </w:rPr>
        <w:t>法释〔2020〕18号 - 1</w:t>
      </w:r>
      <w:r w:rsidRPr="00F75222">
        <w:rPr>
          <w:rFonts w:ascii="微软雅黑" w:eastAsia="微软雅黑" w:hAnsi="微软雅黑" w:cs="宋体" w:hint="eastAsia"/>
          <w:sz w:val="22"/>
          <w:szCs w:val="22"/>
        </w:rPr>
        <w:t>5</w:t>
      </w:r>
      <w:bookmarkStart w:id="0" w:name="_GoBack"/>
      <w:bookmarkEnd w:id="0"/>
    </w:p>
    <w:p w:rsidR="00F75222" w:rsidRPr="00F75222" w:rsidRDefault="00F75222" w:rsidP="00F75222">
      <w:pPr>
        <w:pStyle w:val="a7"/>
        <w:spacing w:line="240" w:lineRule="exact"/>
        <w:jc w:val="center"/>
        <w:rPr>
          <w:rFonts w:ascii="微软雅黑" w:eastAsia="微软雅黑" w:hAnsi="微软雅黑" w:cs="宋体" w:hint="eastAsia"/>
          <w:sz w:val="22"/>
          <w:szCs w:val="22"/>
        </w:rPr>
      </w:pPr>
    </w:p>
    <w:p w:rsidR="00B10967" w:rsidRPr="00F75222" w:rsidRDefault="00B10967" w:rsidP="00F75222">
      <w:pPr>
        <w:pStyle w:val="a7"/>
        <w:spacing w:line="240" w:lineRule="exact"/>
        <w:ind w:leftChars="200" w:left="420" w:rightChars="200" w:right="420" w:firstLineChars="200" w:firstLine="420"/>
        <w:jc w:val="left"/>
        <w:rPr>
          <w:rFonts w:ascii="微软雅黑" w:eastAsia="微软雅黑" w:hAnsi="微软雅黑" w:cs="宋体"/>
        </w:rPr>
      </w:pPr>
      <w:r w:rsidRPr="00F75222">
        <w:rPr>
          <w:rFonts w:ascii="微软雅黑" w:eastAsia="微软雅黑" w:hAnsi="微软雅黑" w:cs="宋体" w:hint="eastAsia"/>
        </w:rPr>
        <w:t>（2010年12月27日最高人民法院审判委员会第1507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B10967" w:rsidRPr="00F75222" w:rsidRDefault="00B10967" w:rsidP="00F75222">
      <w:pPr>
        <w:pStyle w:val="a7"/>
        <w:spacing w:line="280" w:lineRule="exact"/>
        <w:rPr>
          <w:rFonts w:ascii="微软雅黑" w:eastAsia="微软雅黑" w:hAnsi="微软雅黑" w:cs="宋体"/>
          <w:sz w:val="24"/>
          <w:szCs w:val="24"/>
        </w:rPr>
      </w:pPr>
    </w:p>
    <w:p w:rsidR="00B10967" w:rsidRPr="00F75222" w:rsidRDefault="00B10967" w:rsidP="00F75222">
      <w:pPr>
        <w:pStyle w:val="a7"/>
        <w:spacing w:line="280" w:lineRule="exact"/>
        <w:ind w:firstLineChars="200" w:firstLine="480"/>
        <w:rPr>
          <w:rFonts w:ascii="微软雅黑" w:eastAsia="微软雅黑" w:hAnsi="微软雅黑" w:cs="宋体"/>
          <w:sz w:val="24"/>
          <w:szCs w:val="24"/>
        </w:rPr>
      </w:pPr>
      <w:r w:rsidRPr="00F75222">
        <w:rPr>
          <w:rFonts w:ascii="微软雅黑" w:eastAsia="微软雅黑" w:hAnsi="微软雅黑" w:cs="宋体" w:hint="eastAsia"/>
          <w:sz w:val="24"/>
          <w:szCs w:val="24"/>
        </w:rPr>
        <w:t>为解决相关期货纠纷案件的管辖、保全与执行等法律适用问题，根据《中华人民共和国民事诉讼法》等有关法律、行政法规的规定以及审判实践的需要，制定本规定。</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w:t>
      </w:r>
      <w:r w:rsidRPr="00F75222">
        <w:rPr>
          <w:rFonts w:ascii="微软雅黑" w:eastAsia="微软雅黑" w:hAnsi="微软雅黑" w:cs="宋体" w:hint="eastAsia"/>
          <w:b/>
          <w:bCs/>
          <w:sz w:val="24"/>
          <w:szCs w:val="24"/>
        </w:rPr>
        <w:t>第一条</w:t>
      </w:r>
      <w:r w:rsidRPr="00F75222">
        <w:rPr>
          <w:rFonts w:ascii="微软雅黑" w:eastAsia="微软雅黑" w:hAnsi="微软雅黑" w:cs="宋体" w:hint="eastAsia"/>
          <w:sz w:val="24"/>
          <w:szCs w:val="24"/>
        </w:rPr>
        <w:t xml:space="preserve">　以期货交易所为被告或者第三人的因期货交易所履行职责引起的商事案件，由期货交易所所在地的中级人民法院管辖。</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w:t>
      </w:r>
      <w:r w:rsidRPr="00F75222">
        <w:rPr>
          <w:rFonts w:ascii="微软雅黑" w:eastAsia="微软雅黑" w:hAnsi="微软雅黑" w:cs="宋体" w:hint="eastAsia"/>
          <w:b/>
          <w:bCs/>
          <w:sz w:val="24"/>
          <w:szCs w:val="24"/>
        </w:rPr>
        <w:t>第二条</w:t>
      </w:r>
      <w:r w:rsidRPr="00F75222">
        <w:rPr>
          <w:rFonts w:ascii="微软雅黑" w:eastAsia="微软雅黑" w:hAnsi="微软雅黑" w:cs="宋体" w:hint="eastAsia"/>
          <w:sz w:val="24"/>
          <w:szCs w:val="24"/>
        </w:rPr>
        <w:t xml:space="preserve">　期货交易所履行职责引起的商事案件是指：</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一）期货交易所会员及其相关人员、保证金存管银行及其相关人员、客户、其他期货市场参与者，以期货交易所违反法律法规以及国务院期货监督管理机构的规定，履行监督管理职责不当，造成其损害为由提起的商事诉讼案件；</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二）期货交易所会员及其相关人员、保证金存管银行及其相关人员、客户、其他期货市场参与者，以期货交易所违反其章程、交易规则、实施细则的规定以及业务协议的约定，履行监督管理职责不当，造成其损害为由提起的商事诉讼案件；</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（三）期货交易所因履行职责引起的其他商事诉讼案件。</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w:t>
      </w:r>
      <w:r w:rsidRPr="00F75222">
        <w:rPr>
          <w:rFonts w:ascii="微软雅黑" w:eastAsia="微软雅黑" w:hAnsi="微软雅黑" w:cs="宋体" w:hint="eastAsia"/>
          <w:b/>
          <w:bCs/>
          <w:sz w:val="24"/>
          <w:szCs w:val="24"/>
        </w:rPr>
        <w:t>第三条</w:t>
      </w:r>
      <w:r w:rsidRPr="00F75222">
        <w:rPr>
          <w:rFonts w:ascii="微软雅黑" w:eastAsia="微软雅黑" w:hAnsi="微软雅黑" w:cs="宋体" w:hint="eastAsia"/>
          <w:sz w:val="24"/>
          <w:szCs w:val="24"/>
        </w:rPr>
        <w:t xml:space="preserve">　期货交易所为债务人，债权人请求冻结、划拨以下账户中资金或者有价证券的，人民法院不予支持：</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（一）期货交易所会员在期货交易所保证金账户中的资金；</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（二）期货交易所会员向期货交易所提交的用于充抵保证金的有价证券。</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w:t>
      </w:r>
      <w:r w:rsidRPr="00F75222">
        <w:rPr>
          <w:rFonts w:ascii="微软雅黑" w:eastAsia="微软雅黑" w:hAnsi="微软雅黑" w:cs="宋体" w:hint="eastAsia"/>
          <w:b/>
          <w:bCs/>
          <w:sz w:val="24"/>
          <w:szCs w:val="24"/>
        </w:rPr>
        <w:t>第四条</w:t>
      </w:r>
      <w:r w:rsidRPr="00F75222">
        <w:rPr>
          <w:rFonts w:ascii="微软雅黑" w:eastAsia="微软雅黑" w:hAnsi="微软雅黑" w:cs="宋体" w:hint="eastAsia"/>
          <w:sz w:val="24"/>
          <w:szCs w:val="24"/>
        </w:rPr>
        <w:t xml:space="preserve">　期货公司为债务人，债权人请求冻结、划拨以下账户中资金或者有价证券的，人民法院不予支持：</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（一）客户在期货公司保证金账户中的资金；</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（二）客户向期货公司提交的用于充抵保证金的有价证券。</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w:t>
      </w:r>
      <w:r w:rsidRPr="00F75222">
        <w:rPr>
          <w:rFonts w:ascii="微软雅黑" w:eastAsia="微软雅黑" w:hAnsi="微软雅黑" w:cs="宋体" w:hint="eastAsia"/>
          <w:b/>
          <w:bCs/>
          <w:sz w:val="24"/>
          <w:szCs w:val="24"/>
        </w:rPr>
        <w:t>第五条</w:t>
      </w:r>
      <w:r w:rsidRPr="00F75222">
        <w:rPr>
          <w:rFonts w:ascii="微软雅黑" w:eastAsia="微软雅黑" w:hAnsi="微软雅黑" w:cs="宋体" w:hint="eastAsia"/>
          <w:sz w:val="24"/>
          <w:szCs w:val="24"/>
        </w:rPr>
        <w:t xml:space="preserve">　实行会员分级结算制度的期货交易所的结算会员为债务人，债权人请求冻结、划拨结算会员以下资金或者有价证券的，人民法院不予支持：</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（一）非结算会员在结算会员保证金账户中的资金；</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（二）非结算会员向结算会员提交的用于充抵保证金的有价证券。</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w:t>
      </w:r>
      <w:r w:rsidRPr="00F75222">
        <w:rPr>
          <w:rFonts w:ascii="微软雅黑" w:eastAsia="微软雅黑" w:hAnsi="微软雅黑" w:cs="宋体" w:hint="eastAsia"/>
          <w:b/>
          <w:bCs/>
          <w:sz w:val="24"/>
          <w:szCs w:val="24"/>
        </w:rPr>
        <w:t>第六条</w:t>
      </w:r>
      <w:r w:rsidRPr="00F75222">
        <w:rPr>
          <w:rFonts w:ascii="微软雅黑" w:eastAsia="微软雅黑" w:hAnsi="微软雅黑" w:cs="宋体" w:hint="eastAsia"/>
          <w:sz w:val="24"/>
          <w:szCs w:val="24"/>
        </w:rPr>
        <w:t xml:space="preserve">　有证据证明保证金账户中有超过上述第三条、第四条、第五条规定的资金或者有价证券部分权益的，期货交易所、期货公司或者期货交易所结算会员在人民法院指定的合理期限内不能提出相反证据的，人民法院可以依法冻结、划拨超出部分的资金或者有价证券。</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有证据证明期货交易所、期货公司、期货交易所结算会员自有资金与保证金发生混同，期货交易所、期货公司或者期货交易所结算会员在人民法院指定的合理期限内不能提出相反证据的，人民法院可以依法冻结、划拨相关账户内的资金或者有价证券。</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w:t>
      </w:r>
      <w:r w:rsidRPr="00F75222">
        <w:rPr>
          <w:rFonts w:ascii="微软雅黑" w:eastAsia="微软雅黑" w:hAnsi="微软雅黑" w:cs="宋体" w:hint="eastAsia"/>
          <w:b/>
          <w:bCs/>
          <w:sz w:val="24"/>
          <w:szCs w:val="24"/>
        </w:rPr>
        <w:t>第七条</w:t>
      </w:r>
      <w:r w:rsidRPr="00F75222">
        <w:rPr>
          <w:rFonts w:ascii="微软雅黑" w:eastAsia="微软雅黑" w:hAnsi="微软雅黑" w:cs="宋体" w:hint="eastAsia"/>
          <w:sz w:val="24"/>
          <w:szCs w:val="24"/>
        </w:rPr>
        <w:t xml:space="preserve">　实行会员分级结算制度的期货交易所或者其结算会员为债务人，债权人请求冻结、划拨期货交易所向其结算会员依法收取的结算担保金的，人民法院不予支持。</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有证据证明结算会员在结算担保金专用账户中有超过交易所要求的结算担保金数额部分的，结算会员在人民法院指定的合理期限内不能提出相反证据的，人民法院可以依法冻结、划拨超出部分的资金。</w:t>
      </w:r>
    </w:p>
    <w:p w:rsidR="00B10967" w:rsidRPr="00F75222" w:rsidRDefault="00B10967" w:rsidP="00F75222">
      <w:pPr>
        <w:pStyle w:val="a7"/>
        <w:spacing w:line="280" w:lineRule="exact"/>
        <w:rPr>
          <w:rFonts w:ascii="微软雅黑" w:eastAsia="微软雅黑" w:hAnsi="微软雅黑" w:cs="宋体"/>
          <w:sz w:val="24"/>
          <w:szCs w:val="24"/>
        </w:rPr>
      </w:pPr>
      <w:r w:rsidRPr="00F75222">
        <w:rPr>
          <w:rFonts w:ascii="微软雅黑" w:eastAsia="微软雅黑" w:hAnsi="微软雅黑" w:cs="宋体" w:hint="eastAsia"/>
          <w:sz w:val="24"/>
          <w:szCs w:val="24"/>
        </w:rPr>
        <w:t xml:space="preserve">　　</w:t>
      </w:r>
      <w:r w:rsidRPr="00F75222">
        <w:rPr>
          <w:rFonts w:ascii="微软雅黑" w:eastAsia="微软雅黑" w:hAnsi="微软雅黑" w:cs="宋体" w:hint="eastAsia"/>
          <w:b/>
          <w:bCs/>
          <w:sz w:val="24"/>
          <w:szCs w:val="24"/>
        </w:rPr>
        <w:t>第八条</w:t>
      </w:r>
      <w:r w:rsidRPr="00F75222">
        <w:rPr>
          <w:rFonts w:ascii="微软雅黑" w:eastAsia="微软雅黑" w:hAnsi="微软雅黑" w:cs="宋体" w:hint="eastAsia"/>
          <w:sz w:val="24"/>
          <w:szCs w:val="24"/>
        </w:rPr>
        <w:t xml:space="preserve">　人民法院在办理案件过程中，依法需要通过期货交易所、期货公司查询、冻结、划拨资金或者有价证券的，期货交易所、期货公司应当予以协助。应当协助而拒不协助的，按照《中华人民共和国民事诉讼法》第一百一十四条之规定办理。</w:t>
      </w:r>
    </w:p>
    <w:p w:rsidR="00B10967" w:rsidRPr="00F75222" w:rsidRDefault="00B10967" w:rsidP="00F75222">
      <w:pPr>
        <w:pStyle w:val="a7"/>
        <w:spacing w:line="280" w:lineRule="exact"/>
        <w:ind w:firstLineChars="200" w:firstLine="480"/>
        <w:rPr>
          <w:rFonts w:ascii="微软雅黑" w:eastAsia="微软雅黑" w:hAnsi="微软雅黑" w:cs="宋体"/>
          <w:sz w:val="24"/>
          <w:szCs w:val="24"/>
        </w:rPr>
      </w:pPr>
      <w:r w:rsidRPr="00F75222">
        <w:rPr>
          <w:rFonts w:ascii="微软雅黑" w:eastAsia="微软雅黑" w:hAnsi="微软雅黑" w:cs="宋体" w:hint="eastAsia"/>
          <w:b/>
          <w:bCs/>
          <w:sz w:val="24"/>
          <w:szCs w:val="24"/>
        </w:rPr>
        <w:t>第九条</w:t>
      </w:r>
      <w:r w:rsidRPr="00F75222">
        <w:rPr>
          <w:rFonts w:ascii="微软雅黑" w:eastAsia="微软雅黑" w:hAnsi="微软雅黑" w:cs="宋体" w:hint="eastAsia"/>
          <w:sz w:val="24"/>
          <w:szCs w:val="24"/>
        </w:rPr>
        <w:t xml:space="preserve">　本规定施行前已经受理的上述案件不再移送。</w:t>
      </w:r>
    </w:p>
    <w:p w:rsidR="00563032" w:rsidRPr="00F75222" w:rsidRDefault="00B10967" w:rsidP="00F75222">
      <w:pPr>
        <w:pStyle w:val="a7"/>
        <w:spacing w:line="280" w:lineRule="exact"/>
        <w:ind w:firstLineChars="200" w:firstLine="480"/>
        <w:rPr>
          <w:rFonts w:ascii="微软雅黑" w:eastAsia="微软雅黑" w:hAnsi="微软雅黑" w:cs="宋体" w:hint="eastAsia"/>
          <w:sz w:val="24"/>
          <w:szCs w:val="24"/>
        </w:rPr>
      </w:pPr>
      <w:r w:rsidRPr="00F75222">
        <w:rPr>
          <w:rFonts w:ascii="微软雅黑" w:eastAsia="微软雅黑" w:hAnsi="微软雅黑" w:cs="宋体" w:hint="eastAsia"/>
          <w:b/>
          <w:bCs/>
          <w:sz w:val="24"/>
          <w:szCs w:val="24"/>
        </w:rPr>
        <w:t>第十条</w:t>
      </w:r>
      <w:r w:rsidRPr="00F75222">
        <w:rPr>
          <w:rFonts w:ascii="微软雅黑" w:eastAsia="微软雅黑" w:hAnsi="微软雅黑" w:cs="宋体" w:hint="eastAsia"/>
          <w:sz w:val="24"/>
          <w:szCs w:val="24"/>
        </w:rPr>
        <w:t xml:space="preserve">　本规定施行前本院</w:t>
      </w:r>
      <w:proofErr w:type="gramStart"/>
      <w:r w:rsidRPr="00F75222">
        <w:rPr>
          <w:rFonts w:ascii="微软雅黑" w:eastAsia="微软雅黑" w:hAnsi="微软雅黑" w:cs="宋体" w:hint="eastAsia"/>
          <w:sz w:val="24"/>
          <w:szCs w:val="24"/>
        </w:rPr>
        <w:t>作出</w:t>
      </w:r>
      <w:proofErr w:type="gramEnd"/>
      <w:r w:rsidRPr="00F75222">
        <w:rPr>
          <w:rFonts w:ascii="微软雅黑" w:eastAsia="微软雅黑" w:hAnsi="微软雅黑" w:cs="宋体" w:hint="eastAsia"/>
          <w:sz w:val="24"/>
          <w:szCs w:val="24"/>
        </w:rPr>
        <w:t>的有关司法解释与本规定不一致的，以本规定为准。</w:t>
      </w:r>
    </w:p>
    <w:sectPr w:rsidR="00563032" w:rsidRPr="00F75222" w:rsidSect="00F75222">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0F8" w:rsidRDefault="009F20F8" w:rsidP="00B10967">
      <w:r>
        <w:separator/>
      </w:r>
    </w:p>
  </w:endnote>
  <w:endnote w:type="continuationSeparator" w:id="0">
    <w:p w:rsidR="009F20F8" w:rsidRDefault="009F20F8" w:rsidP="00B1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540079"/>
      <w:docPartObj>
        <w:docPartGallery w:val="Page Numbers (Bottom of Page)"/>
        <w:docPartUnique/>
      </w:docPartObj>
    </w:sdtPr>
    <w:sdtContent>
      <w:p w:rsidR="00F75222" w:rsidRDefault="00F75222">
        <w:pPr>
          <w:pStyle w:val="a5"/>
          <w:jc w:val="right"/>
        </w:pPr>
        <w:r w:rsidRPr="00F75222">
          <w:rPr>
            <w:sz w:val="28"/>
            <w:szCs w:val="28"/>
          </w:rPr>
          <w:fldChar w:fldCharType="begin"/>
        </w:r>
        <w:r w:rsidRPr="00F75222">
          <w:rPr>
            <w:sz w:val="28"/>
            <w:szCs w:val="28"/>
          </w:rPr>
          <w:instrText>PAGE   \* MERGEFORMAT</w:instrText>
        </w:r>
        <w:r w:rsidRPr="00F75222">
          <w:rPr>
            <w:sz w:val="28"/>
            <w:szCs w:val="28"/>
          </w:rPr>
          <w:fldChar w:fldCharType="separate"/>
        </w:r>
        <w:r w:rsidRPr="00F75222">
          <w:rPr>
            <w:sz w:val="28"/>
            <w:szCs w:val="28"/>
            <w:lang w:val="zh-CN"/>
          </w:rPr>
          <w:t>2</w:t>
        </w:r>
        <w:r w:rsidRPr="00F75222">
          <w:rPr>
            <w:sz w:val="28"/>
            <w:szCs w:val="28"/>
          </w:rPr>
          <w:fldChar w:fldCharType="end"/>
        </w:r>
      </w:p>
    </w:sdtContent>
  </w:sdt>
  <w:p w:rsidR="00F75222" w:rsidRDefault="00F752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0F8" w:rsidRDefault="009F20F8" w:rsidP="00B10967">
      <w:r>
        <w:separator/>
      </w:r>
    </w:p>
  </w:footnote>
  <w:footnote w:type="continuationSeparator" w:id="0">
    <w:p w:rsidR="009F20F8" w:rsidRDefault="009F20F8" w:rsidP="00B10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10967"/>
    <w:rsid w:val="00563032"/>
    <w:rsid w:val="009F20F8"/>
    <w:rsid w:val="00B10967"/>
    <w:rsid w:val="00F75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E65DF"/>
  <w15:docId w15:val="{23539B48-D5A3-43EB-B5F3-BC711B85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9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0967"/>
    <w:rPr>
      <w:sz w:val="18"/>
      <w:szCs w:val="18"/>
    </w:rPr>
  </w:style>
  <w:style w:type="paragraph" w:styleId="a5">
    <w:name w:val="footer"/>
    <w:basedOn w:val="a"/>
    <w:link w:val="a6"/>
    <w:uiPriority w:val="99"/>
    <w:unhideWhenUsed/>
    <w:rsid w:val="00B10967"/>
    <w:pPr>
      <w:tabs>
        <w:tab w:val="center" w:pos="4153"/>
        <w:tab w:val="right" w:pos="8306"/>
      </w:tabs>
      <w:snapToGrid w:val="0"/>
      <w:jc w:val="left"/>
    </w:pPr>
    <w:rPr>
      <w:sz w:val="18"/>
      <w:szCs w:val="18"/>
    </w:rPr>
  </w:style>
  <w:style w:type="character" w:customStyle="1" w:styleId="a6">
    <w:name w:val="页脚 字符"/>
    <w:basedOn w:val="a0"/>
    <w:link w:val="a5"/>
    <w:uiPriority w:val="99"/>
    <w:rsid w:val="00B10967"/>
    <w:rPr>
      <w:sz w:val="18"/>
      <w:szCs w:val="18"/>
    </w:rPr>
  </w:style>
  <w:style w:type="paragraph" w:styleId="a7">
    <w:name w:val="Plain Text"/>
    <w:basedOn w:val="a"/>
    <w:link w:val="a8"/>
    <w:uiPriority w:val="99"/>
    <w:rsid w:val="00B10967"/>
    <w:rPr>
      <w:rFonts w:ascii="宋体" w:eastAsia="宋体" w:hAnsi="Courier New" w:cs="Courier New"/>
      <w:szCs w:val="21"/>
    </w:rPr>
  </w:style>
  <w:style w:type="character" w:customStyle="1" w:styleId="a8">
    <w:name w:val="纯文本 字符"/>
    <w:basedOn w:val="a0"/>
    <w:link w:val="a7"/>
    <w:uiPriority w:val="99"/>
    <w:rsid w:val="00B10967"/>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3</cp:revision>
  <dcterms:created xsi:type="dcterms:W3CDTF">2021-04-01T01:54:00Z</dcterms:created>
  <dcterms:modified xsi:type="dcterms:W3CDTF">2025-09-15T05:15:00Z</dcterms:modified>
</cp:coreProperties>
</file>